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A8" w:rsidRDefault="005633A8" w:rsidP="005633A8">
      <w:pPr>
        <w:pStyle w:val="Heading1"/>
        <w:jc w:val="center"/>
      </w:pPr>
      <w:proofErr w:type="spellStart"/>
      <w:r>
        <w:t>Lavasa</w:t>
      </w:r>
      <w:proofErr w:type="spellEnd"/>
      <w:r>
        <w:t xml:space="preserve"> Corporation Ltd</w:t>
      </w:r>
    </w:p>
    <w:p w:rsidR="005633A8" w:rsidRDefault="005633A8">
      <w:pPr>
        <w:rPr>
          <w:b/>
        </w:rPr>
      </w:pPr>
    </w:p>
    <w:p w:rsidR="005633A8" w:rsidRPr="005633A8" w:rsidRDefault="005633A8">
      <w:r>
        <w:rPr>
          <w:b/>
        </w:rPr>
        <w:t xml:space="preserve">29 October 2020: </w:t>
      </w:r>
      <w:r w:rsidRPr="005633A8">
        <w:t xml:space="preserve">After multiple extensions, the date for submitting </w:t>
      </w:r>
      <w:proofErr w:type="spellStart"/>
      <w:r w:rsidRPr="005633A8">
        <w:t>EoIs</w:t>
      </w:r>
      <w:proofErr w:type="spellEnd"/>
      <w:r w:rsidRPr="005633A8">
        <w:t xml:space="preserve"> was again extended till </w:t>
      </w:r>
      <w:r>
        <w:t>20 November</w:t>
      </w:r>
      <w:r w:rsidRPr="005633A8">
        <w:t xml:space="preserve"> 2020</w:t>
      </w:r>
      <w:r>
        <w:t>.</w:t>
      </w:r>
    </w:p>
    <w:p w:rsidR="00D365C0" w:rsidRDefault="00567291">
      <w:pPr>
        <w:rPr>
          <w:b/>
        </w:rPr>
      </w:pPr>
      <w:r>
        <w:rPr>
          <w:b/>
        </w:rPr>
        <w:t>16 March 2020:  T</w:t>
      </w:r>
      <w:r>
        <w:t>he Resolution Professional (</w:t>
      </w:r>
      <w:proofErr w:type="spellStart"/>
      <w:r>
        <w:t>Shailesh</w:t>
      </w:r>
      <w:proofErr w:type="spellEnd"/>
      <w:r>
        <w:t xml:space="preserve"> </w:t>
      </w:r>
      <w:proofErr w:type="spellStart"/>
      <w:r>
        <w:t>Verma</w:t>
      </w:r>
      <w:proofErr w:type="spellEnd"/>
      <w:r>
        <w:t xml:space="preserve">) invites prospective resolution applicants to submit resolution plans for the consolidated CIRP of </w:t>
      </w:r>
      <w:proofErr w:type="spellStart"/>
      <w:r>
        <w:t>Lavasa</w:t>
      </w:r>
      <w:proofErr w:type="spellEnd"/>
      <w:r>
        <w:t xml:space="preserve"> Corporation</w:t>
      </w:r>
      <w:r w:rsidR="005633A8">
        <w:t xml:space="preserve"> (</w:t>
      </w:r>
      <w:r>
        <w:t>which include</w:t>
      </w:r>
      <w:r w:rsidR="005633A8">
        <w:t>s</w:t>
      </w:r>
      <w:r>
        <w:t xml:space="preserve"> </w:t>
      </w:r>
      <w:proofErr w:type="spellStart"/>
      <w:r w:rsidR="005633A8">
        <w:t>Warasgaon</w:t>
      </w:r>
      <w:proofErr w:type="spellEnd"/>
      <w:r w:rsidR="005633A8">
        <w:t xml:space="preserve"> Power Supply Limited (WPSL) and </w:t>
      </w:r>
      <w:proofErr w:type="spellStart"/>
      <w:r w:rsidR="005633A8">
        <w:t>Dasve</w:t>
      </w:r>
      <w:proofErr w:type="spellEnd"/>
      <w:r w:rsidR="005633A8">
        <w:t xml:space="preserve"> Retail Limited (DRL) </w:t>
      </w:r>
      <w:r>
        <w:t xml:space="preserve">and </w:t>
      </w:r>
      <w:proofErr w:type="spellStart"/>
      <w:r>
        <w:t>L</w:t>
      </w:r>
      <w:r w:rsidR="005633A8">
        <w:t>avasa</w:t>
      </w:r>
      <w:proofErr w:type="spellEnd"/>
      <w:r w:rsidR="005633A8">
        <w:t xml:space="preserve"> </w:t>
      </w:r>
      <w:r>
        <w:t>H</w:t>
      </w:r>
      <w:r w:rsidR="005633A8">
        <w:t xml:space="preserve">otels </w:t>
      </w:r>
      <w:r>
        <w:t>L</w:t>
      </w:r>
      <w:r w:rsidR="005633A8">
        <w:t>imited (LHL</w:t>
      </w:r>
      <w:r>
        <w:t>)</w:t>
      </w:r>
      <w:r w:rsidR="005633A8">
        <w:t xml:space="preserve">. The last date for submission of </w:t>
      </w:r>
      <w:proofErr w:type="spellStart"/>
      <w:r w:rsidR="005633A8">
        <w:t>EoI</w:t>
      </w:r>
      <w:proofErr w:type="spellEnd"/>
      <w:r w:rsidR="005633A8">
        <w:t xml:space="preserve"> was 26 April.</w:t>
      </w:r>
    </w:p>
    <w:p w:rsidR="00FD185F" w:rsidRDefault="008172F2">
      <w:r w:rsidRPr="008172F2">
        <w:rPr>
          <w:b/>
        </w:rPr>
        <w:t>26 February 2020:</w:t>
      </w:r>
      <w:r>
        <w:t xml:space="preserve"> NCLT orders a consolidated corporate Insolvency Process of </w:t>
      </w:r>
      <w:proofErr w:type="spellStart"/>
      <w:r>
        <w:t>Lavasa</w:t>
      </w:r>
      <w:proofErr w:type="spellEnd"/>
      <w:r>
        <w:t xml:space="preserve"> Corporation Limited and its 100% subsidiary </w:t>
      </w:r>
      <w:r w:rsidR="005633A8">
        <w:t>c</w:t>
      </w:r>
      <w:r>
        <w:t>ompanies</w:t>
      </w:r>
      <w:r w:rsidR="005633A8">
        <w:t xml:space="preserve"> -- </w:t>
      </w:r>
      <w:proofErr w:type="spellStart"/>
      <w:r w:rsidR="005633A8">
        <w:t>Warasgaon</w:t>
      </w:r>
      <w:proofErr w:type="spellEnd"/>
      <w:r w:rsidR="005633A8">
        <w:t xml:space="preserve"> Asset Maintenance Limited and </w:t>
      </w:r>
      <w:proofErr w:type="spellStart"/>
      <w:r w:rsidR="005633A8">
        <w:t>Dasve</w:t>
      </w:r>
      <w:proofErr w:type="spellEnd"/>
      <w:r w:rsidR="005633A8">
        <w:t xml:space="preserve"> Convention Centre Limited -- </w:t>
      </w:r>
      <w:r>
        <w:t>all of which are undergoing CIRP.</w:t>
      </w:r>
    </w:p>
    <w:p w:rsidR="008172F2" w:rsidRDefault="00D365C0">
      <w:r>
        <w:t xml:space="preserve">An initial time period of 60 days from the date of this order is granted for the completion of the Consolidated CIRP of </w:t>
      </w:r>
      <w:proofErr w:type="spellStart"/>
      <w:r>
        <w:t>Lavasa</w:t>
      </w:r>
      <w:proofErr w:type="spellEnd"/>
      <w:r>
        <w:t xml:space="preserve"> Group. For any further extension, depending on the progress of the Consolidated CIRP, the </w:t>
      </w:r>
      <w:proofErr w:type="spellStart"/>
      <w:r>
        <w:t>CoC</w:t>
      </w:r>
      <w:proofErr w:type="spellEnd"/>
      <w:r>
        <w:t>/ Resolution Professional may approach the Adjudicating Authority accordingly</w:t>
      </w:r>
      <w:r w:rsidR="00567291">
        <w:t>.</w:t>
      </w:r>
    </w:p>
    <w:p w:rsidR="00567291" w:rsidRPr="00567291" w:rsidRDefault="00567291" w:rsidP="00567291">
      <w:pPr>
        <w:pStyle w:val="NoSpacing"/>
      </w:pPr>
      <w:r w:rsidRPr="00567291">
        <w:rPr>
          <w:b/>
          <w:szCs w:val="14"/>
          <w:shd w:val="clear" w:color="auto" w:fill="FFFFFF"/>
        </w:rPr>
        <w:t>January 2020</w:t>
      </w:r>
      <w:r w:rsidRPr="00567291">
        <w:rPr>
          <w:szCs w:val="14"/>
          <w:shd w:val="clear" w:color="auto" w:fill="FFFFFF"/>
        </w:rPr>
        <w:t>: Mumbai-based </w:t>
      </w:r>
      <w:proofErr w:type="spellStart"/>
      <w:r w:rsidRPr="00567291">
        <w:rPr>
          <w:szCs w:val="14"/>
          <w:shd w:val="clear" w:color="auto" w:fill="FFFFFF"/>
        </w:rPr>
        <w:t>Oberoi</w:t>
      </w:r>
      <w:proofErr w:type="spellEnd"/>
      <w:r w:rsidRPr="00567291">
        <w:rPr>
          <w:szCs w:val="14"/>
          <w:shd w:val="clear" w:color="auto" w:fill="FFFFFF"/>
        </w:rPr>
        <w:t xml:space="preserve"> Realty Group and New York </w:t>
      </w:r>
      <w:r w:rsidRPr="00567291">
        <w:rPr>
          <w:szCs w:val="12"/>
          <w:shd w:val="clear" w:color="auto" w:fill="FFFFFF"/>
        </w:rPr>
        <w:t>financ</w:t>
      </w:r>
      <w:r w:rsidR="005633A8">
        <w:rPr>
          <w:szCs w:val="12"/>
          <w:shd w:val="clear" w:color="auto" w:fill="FFFFFF"/>
        </w:rPr>
        <w:t xml:space="preserve">ial services group </w:t>
      </w:r>
      <w:proofErr w:type="spellStart"/>
      <w:r w:rsidR="005633A8">
        <w:rPr>
          <w:szCs w:val="12"/>
          <w:shd w:val="clear" w:color="auto" w:fill="FFFFFF"/>
        </w:rPr>
        <w:t>Interups</w:t>
      </w:r>
      <w:proofErr w:type="spellEnd"/>
      <w:r w:rsidR="005633A8">
        <w:rPr>
          <w:szCs w:val="12"/>
          <w:shd w:val="clear" w:color="auto" w:fill="FFFFFF"/>
        </w:rPr>
        <w:t xml:space="preserve"> Inc </w:t>
      </w:r>
      <w:proofErr w:type="gramStart"/>
      <w:r w:rsidRPr="00567291">
        <w:rPr>
          <w:szCs w:val="12"/>
          <w:shd w:val="clear" w:color="auto" w:fill="FFFFFF"/>
        </w:rPr>
        <w:t>have</w:t>
      </w:r>
      <w:proofErr w:type="gramEnd"/>
      <w:r w:rsidRPr="00567291">
        <w:rPr>
          <w:szCs w:val="12"/>
          <w:shd w:val="clear" w:color="auto" w:fill="FFFFFF"/>
        </w:rPr>
        <w:t xml:space="preserve"> submits their expression of Interest for revival of </w:t>
      </w:r>
      <w:proofErr w:type="spellStart"/>
      <w:r w:rsidRPr="00567291">
        <w:rPr>
          <w:szCs w:val="12"/>
          <w:shd w:val="clear" w:color="auto" w:fill="FFFFFF"/>
        </w:rPr>
        <w:t>Lavasa</w:t>
      </w:r>
      <w:proofErr w:type="spellEnd"/>
      <w:r w:rsidRPr="00567291">
        <w:rPr>
          <w:szCs w:val="12"/>
          <w:shd w:val="clear" w:color="auto" w:fill="FFFFFF"/>
        </w:rPr>
        <w:t xml:space="preserve"> Project</w:t>
      </w:r>
      <w:r>
        <w:rPr>
          <w:szCs w:val="12"/>
          <w:shd w:val="clear" w:color="auto" w:fill="FFFFFF"/>
        </w:rPr>
        <w:t>.</w:t>
      </w:r>
    </w:p>
    <w:p w:rsidR="008172F2" w:rsidRDefault="00567291" w:rsidP="00567291">
      <w:pPr>
        <w:rPr>
          <w:shd w:val="clear" w:color="auto" w:fill="FFFFFF"/>
        </w:rPr>
      </w:pPr>
      <w:r>
        <w:rPr>
          <w:rFonts w:ascii="Verdana" w:hAnsi="Verdana"/>
          <w:color w:val="222222"/>
          <w:sz w:val="14"/>
          <w:szCs w:val="14"/>
        </w:rPr>
        <w:br/>
      </w:r>
      <w:r w:rsidR="00D365C0" w:rsidRPr="00D365C0">
        <w:rPr>
          <w:b/>
        </w:rPr>
        <w:t>7 November 2019</w:t>
      </w:r>
      <w:r w:rsidR="00D365C0">
        <w:t>: Committee of Creditors (</w:t>
      </w:r>
      <w:proofErr w:type="spellStart"/>
      <w:r w:rsidR="00D365C0">
        <w:t>CoC</w:t>
      </w:r>
      <w:proofErr w:type="spellEnd"/>
      <w:r w:rsidR="00D365C0">
        <w:t xml:space="preserve">) rejects resolution applications of </w:t>
      </w:r>
      <w:proofErr w:type="spellStart"/>
      <w:r w:rsidR="00D365C0">
        <w:t>Haldiram</w:t>
      </w:r>
      <w:proofErr w:type="spellEnd"/>
      <w:r w:rsidR="00D365C0">
        <w:t xml:space="preserve"> Snacks and </w:t>
      </w:r>
      <w:proofErr w:type="spellStart"/>
      <w:r w:rsidR="00D365C0">
        <w:rPr>
          <w:shd w:val="clear" w:color="auto" w:fill="FFFFFF"/>
        </w:rPr>
        <w:t>Pune</w:t>
      </w:r>
      <w:proofErr w:type="spellEnd"/>
      <w:r w:rsidR="00D365C0">
        <w:rPr>
          <w:shd w:val="clear" w:color="auto" w:fill="FFFFFF"/>
        </w:rPr>
        <w:t xml:space="preserve">-based real estate builder </w:t>
      </w:r>
      <w:proofErr w:type="spellStart"/>
      <w:r w:rsidR="00D365C0">
        <w:rPr>
          <w:shd w:val="clear" w:color="auto" w:fill="FFFFFF"/>
        </w:rPr>
        <w:t>Anirudh</w:t>
      </w:r>
      <w:proofErr w:type="spellEnd"/>
      <w:r w:rsidR="00D365C0">
        <w:rPr>
          <w:shd w:val="clear" w:color="auto" w:fill="FFFFFF"/>
        </w:rPr>
        <w:t xml:space="preserve"> </w:t>
      </w:r>
      <w:proofErr w:type="spellStart"/>
      <w:r w:rsidR="00D365C0">
        <w:rPr>
          <w:shd w:val="clear" w:color="auto" w:fill="FFFFFF"/>
        </w:rPr>
        <w:t>Deshpande</w:t>
      </w:r>
      <w:proofErr w:type="spellEnd"/>
      <w:r w:rsidR="00D365C0">
        <w:rPr>
          <w:shd w:val="clear" w:color="auto" w:fill="FFFFFF"/>
        </w:rPr>
        <w:t xml:space="preserve"> after they were found non-compliant with the insolvency norms.</w:t>
      </w:r>
    </w:p>
    <w:p w:rsidR="00567291" w:rsidRDefault="00567291" w:rsidP="00567291">
      <w:r>
        <w:rPr>
          <w:b/>
        </w:rPr>
        <w:t>May 2019: T</w:t>
      </w:r>
      <w:r>
        <w:t xml:space="preserve">hree resolution applicants submitted their resolution plan for the </w:t>
      </w:r>
      <w:proofErr w:type="spellStart"/>
      <w:r>
        <w:t>Lavasa</w:t>
      </w:r>
      <w:proofErr w:type="spellEnd"/>
      <w:r>
        <w:t xml:space="preserve"> Corporation.</w:t>
      </w:r>
    </w:p>
    <w:p w:rsidR="00D365C0" w:rsidRDefault="00D365C0">
      <w:r w:rsidRPr="00D365C0">
        <w:rPr>
          <w:b/>
        </w:rPr>
        <w:t>13 November 2018</w:t>
      </w:r>
      <w:r>
        <w:t>: T</w:t>
      </w:r>
      <w:r w:rsidR="008172F2">
        <w:t>he Expression of Interest (</w:t>
      </w:r>
      <w:proofErr w:type="spellStart"/>
      <w:r w:rsidR="008172F2">
        <w:t>EoI</w:t>
      </w:r>
      <w:proofErr w:type="spellEnd"/>
      <w:r w:rsidR="008172F2">
        <w:t xml:space="preserve">) was floated for the first time with multiple extension was provided for the submission of </w:t>
      </w:r>
      <w:proofErr w:type="spellStart"/>
      <w:r w:rsidR="008172F2">
        <w:t>EoI</w:t>
      </w:r>
      <w:proofErr w:type="spellEnd"/>
      <w:r w:rsidR="008172F2">
        <w:t xml:space="preserve"> on 07</w:t>
      </w:r>
      <w:r>
        <w:t xml:space="preserve"> December </w:t>
      </w:r>
      <w:r w:rsidR="008172F2">
        <w:t>2018, 18</w:t>
      </w:r>
      <w:r>
        <w:t xml:space="preserve"> December </w:t>
      </w:r>
      <w:r w:rsidR="008172F2">
        <w:t>2018, 08</w:t>
      </w:r>
      <w:r>
        <w:t xml:space="preserve"> January </w:t>
      </w:r>
      <w:r w:rsidR="008172F2">
        <w:t>2019, 17</w:t>
      </w:r>
      <w:r>
        <w:t xml:space="preserve"> January </w:t>
      </w:r>
      <w:r w:rsidR="008172F2">
        <w:t>2019, 25</w:t>
      </w:r>
      <w:r>
        <w:t xml:space="preserve"> February </w:t>
      </w:r>
      <w:r w:rsidR="008172F2">
        <w:t>2019, 11</w:t>
      </w:r>
      <w:r>
        <w:t xml:space="preserve"> April </w:t>
      </w:r>
      <w:r w:rsidR="008172F2">
        <w:t>2019, 25</w:t>
      </w:r>
      <w:r>
        <w:t xml:space="preserve"> April </w:t>
      </w:r>
      <w:r w:rsidR="008172F2">
        <w:t>2019 and 24</w:t>
      </w:r>
      <w:r>
        <w:t xml:space="preserve"> May </w:t>
      </w:r>
      <w:r w:rsidR="008172F2">
        <w:t xml:space="preserve">2019. </w:t>
      </w:r>
    </w:p>
    <w:p w:rsidR="0036677B" w:rsidRDefault="008172F2">
      <w:r w:rsidRPr="008172F2">
        <w:rPr>
          <w:b/>
        </w:rPr>
        <w:t>30 August 2018</w:t>
      </w:r>
      <w:r>
        <w:t xml:space="preserve">: Mumbai bench of the NCLT admits insolvency application against </w:t>
      </w:r>
      <w:proofErr w:type="spellStart"/>
      <w:r>
        <w:t>Lavasa</w:t>
      </w:r>
      <w:proofErr w:type="spellEnd"/>
      <w:r>
        <w:t xml:space="preserve"> Corporation Limited under Section 9 of the IBC by operational creditor Raj Infrastructure Private Ltd. </w:t>
      </w:r>
    </w:p>
    <w:p w:rsidR="0036677B" w:rsidRPr="00D543C9" w:rsidRDefault="0036677B" w:rsidP="0036677B">
      <w:pPr>
        <w:rPr>
          <w:b/>
        </w:rPr>
      </w:pPr>
      <w:r w:rsidRPr="00D543C9">
        <w:rPr>
          <w:b/>
        </w:rPr>
        <w:t>Creditors Claim</w:t>
      </w:r>
      <w:r w:rsidR="005633A8">
        <w:rPr>
          <w:b/>
        </w:rPr>
        <w:t xml:space="preserve"> (</w:t>
      </w:r>
      <w:proofErr w:type="spellStart"/>
      <w:r w:rsidR="005633A8">
        <w:rPr>
          <w:b/>
        </w:rPr>
        <w:t>Lavasa</w:t>
      </w:r>
      <w:proofErr w:type="spellEnd"/>
      <w:r w:rsidR="005633A8">
        <w:rPr>
          <w:b/>
        </w:rPr>
        <w:t xml:space="preserve"> Corporation Ltd)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6677B" w:rsidTr="00FE45B4">
        <w:tc>
          <w:tcPr>
            <w:tcW w:w="3192" w:type="dxa"/>
          </w:tcPr>
          <w:p w:rsidR="0036677B" w:rsidRPr="008172F2" w:rsidRDefault="0036677B" w:rsidP="00FE45B4">
            <w:pPr>
              <w:rPr>
                <w:b/>
              </w:rPr>
            </w:pPr>
            <w:r w:rsidRPr="008172F2">
              <w:rPr>
                <w:b/>
              </w:rPr>
              <w:t>Creditors</w:t>
            </w:r>
          </w:p>
        </w:tc>
        <w:tc>
          <w:tcPr>
            <w:tcW w:w="3192" w:type="dxa"/>
          </w:tcPr>
          <w:p w:rsidR="0036677B" w:rsidRPr="008172F2" w:rsidRDefault="0036677B" w:rsidP="00FE45B4">
            <w:pPr>
              <w:rPr>
                <w:b/>
              </w:rPr>
            </w:pPr>
            <w:r w:rsidRPr="008172F2">
              <w:rPr>
                <w:b/>
              </w:rPr>
              <w:t xml:space="preserve">Claims made (Rs </w:t>
            </w:r>
            <w:proofErr w:type="spellStart"/>
            <w:r w:rsidRPr="008172F2">
              <w:rPr>
                <w:b/>
              </w:rPr>
              <w:t>cr</w:t>
            </w:r>
            <w:proofErr w:type="spellEnd"/>
            <w:r w:rsidRPr="008172F2">
              <w:rPr>
                <w:b/>
              </w:rPr>
              <w:t>)</w:t>
            </w:r>
          </w:p>
        </w:tc>
        <w:tc>
          <w:tcPr>
            <w:tcW w:w="3192" w:type="dxa"/>
          </w:tcPr>
          <w:p w:rsidR="0036677B" w:rsidRPr="008172F2" w:rsidRDefault="0036677B" w:rsidP="00FE45B4">
            <w:pPr>
              <w:rPr>
                <w:b/>
              </w:rPr>
            </w:pPr>
            <w:r w:rsidRPr="008172F2">
              <w:rPr>
                <w:b/>
              </w:rPr>
              <w:t xml:space="preserve">Claims Admitted (Rs </w:t>
            </w:r>
            <w:proofErr w:type="spellStart"/>
            <w:r w:rsidRPr="008172F2">
              <w:rPr>
                <w:b/>
              </w:rPr>
              <w:t>cr</w:t>
            </w:r>
            <w:proofErr w:type="spellEnd"/>
            <w:r w:rsidRPr="008172F2">
              <w:rPr>
                <w:b/>
              </w:rPr>
              <w:t>)</w:t>
            </w:r>
          </w:p>
        </w:tc>
      </w:tr>
      <w:tr w:rsidR="0036677B" w:rsidTr="00FE45B4">
        <w:tc>
          <w:tcPr>
            <w:tcW w:w="3192" w:type="dxa"/>
          </w:tcPr>
          <w:p w:rsidR="0036677B" w:rsidRDefault="0036677B" w:rsidP="00FE45B4">
            <w:r w:rsidRPr="00BE2FA4">
              <w:t>Financial Creditors</w:t>
            </w:r>
          </w:p>
        </w:tc>
        <w:tc>
          <w:tcPr>
            <w:tcW w:w="3192" w:type="dxa"/>
          </w:tcPr>
          <w:p w:rsidR="0036677B" w:rsidRDefault="0036677B" w:rsidP="0036677B">
            <w:r>
              <w:t>6,413</w:t>
            </w:r>
          </w:p>
        </w:tc>
        <w:tc>
          <w:tcPr>
            <w:tcW w:w="3192" w:type="dxa"/>
          </w:tcPr>
          <w:p w:rsidR="0036677B" w:rsidRDefault="0036677B" w:rsidP="00FE45B4">
            <w:r>
              <w:t>5,561</w:t>
            </w:r>
          </w:p>
        </w:tc>
      </w:tr>
      <w:tr w:rsidR="0036677B" w:rsidTr="00FE45B4">
        <w:tc>
          <w:tcPr>
            <w:tcW w:w="3192" w:type="dxa"/>
          </w:tcPr>
          <w:p w:rsidR="0036677B" w:rsidRDefault="0036677B" w:rsidP="00BE2FA4">
            <w:r w:rsidRPr="00BE2FA4">
              <w:t>Operational Creditors</w:t>
            </w:r>
            <w:r w:rsidR="00BE2FA4">
              <w:t xml:space="preserve"> except employees and workmen</w:t>
            </w:r>
          </w:p>
        </w:tc>
        <w:tc>
          <w:tcPr>
            <w:tcW w:w="3192" w:type="dxa"/>
          </w:tcPr>
          <w:p w:rsidR="0036677B" w:rsidRDefault="00BE2FA4" w:rsidP="00FE45B4">
            <w:r>
              <w:t>196</w:t>
            </w:r>
          </w:p>
        </w:tc>
        <w:tc>
          <w:tcPr>
            <w:tcW w:w="3192" w:type="dxa"/>
          </w:tcPr>
          <w:p w:rsidR="0036677B" w:rsidRDefault="00BE2FA4" w:rsidP="00FE45B4">
            <w:r>
              <w:t>126</w:t>
            </w:r>
          </w:p>
        </w:tc>
      </w:tr>
      <w:tr w:rsidR="00BE2FA4" w:rsidTr="00FE45B4">
        <w:tc>
          <w:tcPr>
            <w:tcW w:w="3192" w:type="dxa"/>
          </w:tcPr>
          <w:p w:rsidR="00BE2FA4" w:rsidRPr="00BE2FA4" w:rsidRDefault="00BE2FA4" w:rsidP="00BE2FA4">
            <w:r>
              <w:t>Operational creditors (home buyers)</w:t>
            </w:r>
          </w:p>
        </w:tc>
        <w:tc>
          <w:tcPr>
            <w:tcW w:w="3192" w:type="dxa"/>
          </w:tcPr>
          <w:p w:rsidR="00BE2FA4" w:rsidRDefault="00BE2FA4" w:rsidP="00FE45B4">
            <w:r>
              <w:t>58.5</w:t>
            </w:r>
          </w:p>
        </w:tc>
        <w:tc>
          <w:tcPr>
            <w:tcW w:w="3192" w:type="dxa"/>
          </w:tcPr>
          <w:p w:rsidR="00BE2FA4" w:rsidRDefault="00BE2FA4" w:rsidP="00FE45B4">
            <w:r>
              <w:t>9.24</w:t>
            </w:r>
          </w:p>
        </w:tc>
      </w:tr>
      <w:tr w:rsidR="00BE2FA4" w:rsidTr="00FE45B4">
        <w:tc>
          <w:tcPr>
            <w:tcW w:w="3192" w:type="dxa"/>
          </w:tcPr>
          <w:p w:rsidR="00BE2FA4" w:rsidRDefault="00BE2FA4" w:rsidP="00BE2FA4">
            <w:r>
              <w:t>Statutory Claims</w:t>
            </w:r>
          </w:p>
        </w:tc>
        <w:tc>
          <w:tcPr>
            <w:tcW w:w="3192" w:type="dxa"/>
          </w:tcPr>
          <w:p w:rsidR="00BE2FA4" w:rsidRDefault="00BE2FA4" w:rsidP="00FE45B4">
            <w:r>
              <w:t xml:space="preserve">1.81 </w:t>
            </w:r>
          </w:p>
        </w:tc>
        <w:tc>
          <w:tcPr>
            <w:tcW w:w="3192" w:type="dxa"/>
          </w:tcPr>
          <w:p w:rsidR="00BE2FA4" w:rsidRDefault="00BE2FA4" w:rsidP="00FE45B4">
            <w:r>
              <w:t>0.69</w:t>
            </w:r>
          </w:p>
        </w:tc>
      </w:tr>
      <w:tr w:rsidR="0036677B" w:rsidTr="00FE45B4">
        <w:tc>
          <w:tcPr>
            <w:tcW w:w="3192" w:type="dxa"/>
          </w:tcPr>
          <w:p w:rsidR="0036677B" w:rsidRDefault="0036677B" w:rsidP="00FE45B4">
            <w:r w:rsidRPr="00BE2FA4">
              <w:lastRenderedPageBreak/>
              <w:t>Workmen and employees</w:t>
            </w:r>
          </w:p>
        </w:tc>
        <w:tc>
          <w:tcPr>
            <w:tcW w:w="3192" w:type="dxa"/>
          </w:tcPr>
          <w:p w:rsidR="0036677B" w:rsidRDefault="00BE2FA4" w:rsidP="00FE45B4">
            <w:r>
              <w:t>8.16</w:t>
            </w:r>
          </w:p>
        </w:tc>
        <w:tc>
          <w:tcPr>
            <w:tcW w:w="3192" w:type="dxa"/>
          </w:tcPr>
          <w:p w:rsidR="0036677B" w:rsidRDefault="00BE2FA4" w:rsidP="00FE45B4">
            <w:r>
              <w:t>5.5</w:t>
            </w:r>
          </w:p>
        </w:tc>
      </w:tr>
      <w:tr w:rsidR="0036677B" w:rsidTr="00FE45B4">
        <w:tc>
          <w:tcPr>
            <w:tcW w:w="3192" w:type="dxa"/>
          </w:tcPr>
          <w:p w:rsidR="0036677B" w:rsidRDefault="0036677B" w:rsidP="00FE45B4">
            <w:r w:rsidRPr="00BE2FA4">
              <w:t>Other Creditors claim</w:t>
            </w:r>
            <w:r w:rsidR="00BE2FA4">
              <w:t xml:space="preserve"> including related parties</w:t>
            </w:r>
          </w:p>
        </w:tc>
        <w:tc>
          <w:tcPr>
            <w:tcW w:w="3192" w:type="dxa"/>
          </w:tcPr>
          <w:p w:rsidR="0036677B" w:rsidRDefault="00BE2FA4" w:rsidP="00FE45B4">
            <w:r>
              <w:t>2112</w:t>
            </w:r>
          </w:p>
        </w:tc>
        <w:tc>
          <w:tcPr>
            <w:tcW w:w="3192" w:type="dxa"/>
          </w:tcPr>
          <w:p w:rsidR="0036677B" w:rsidRDefault="00BE2FA4" w:rsidP="00FE45B4">
            <w:r>
              <w:t>2,015</w:t>
            </w:r>
          </w:p>
        </w:tc>
      </w:tr>
    </w:tbl>
    <w:p w:rsidR="0036677B" w:rsidRDefault="0036677B"/>
    <w:sectPr w:rsidR="0036677B" w:rsidSect="00FD1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9616E"/>
    <w:rsid w:val="0029616E"/>
    <w:rsid w:val="0036677B"/>
    <w:rsid w:val="005633A8"/>
    <w:rsid w:val="00567291"/>
    <w:rsid w:val="008172F2"/>
    <w:rsid w:val="00BE2FA4"/>
    <w:rsid w:val="00D05336"/>
    <w:rsid w:val="00D365C0"/>
    <w:rsid w:val="00F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7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77B"/>
    <w:rPr>
      <w:color w:val="0000FF"/>
      <w:u w:val="single"/>
    </w:rPr>
  </w:style>
  <w:style w:type="paragraph" w:styleId="NoSpacing">
    <w:name w:val="No Spacing"/>
    <w:uiPriority w:val="1"/>
    <w:qFormat/>
    <w:rsid w:val="00D365C0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63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2020-12-13T15:35:00Z</dcterms:created>
  <dcterms:modified xsi:type="dcterms:W3CDTF">2020-12-13T16:51:00Z</dcterms:modified>
</cp:coreProperties>
</file>